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43" w:rsidRDefault="007D2A43" w:rsidP="007D2A43">
      <w:pPr>
        <w:spacing w:before="120" w:after="120"/>
        <w:ind w:hanging="720"/>
        <w:jc w:val="center"/>
        <w:rPr>
          <w:rFonts w:ascii="Arial" w:hAnsi="Arial" w:cs="Arial"/>
          <w:b/>
          <w:bCs/>
          <w:sz w:val="32"/>
          <w:szCs w:val="32"/>
        </w:rPr>
      </w:pPr>
      <w:r>
        <w:rPr>
          <w:rFonts w:ascii="Arial" w:hAnsi="Arial" w:cs="Arial"/>
          <w:b/>
          <w:bCs/>
          <w:i/>
          <w:iCs/>
          <w:sz w:val="32"/>
          <w:szCs w:val="32"/>
        </w:rPr>
        <w:t>New Jersey v. T.L.O.</w:t>
      </w:r>
      <w:r>
        <w:rPr>
          <w:rFonts w:ascii="Arial" w:hAnsi="Arial" w:cs="Arial"/>
          <w:b/>
          <w:bCs/>
          <w:sz w:val="32"/>
          <w:szCs w:val="32"/>
        </w:rPr>
        <w:t xml:space="preserve"> (1985)</w:t>
      </w:r>
    </w:p>
    <w:p w:rsidR="00162645" w:rsidRDefault="00162645" w:rsidP="00162645">
      <w:pPr>
        <w:spacing w:before="120" w:after="120"/>
        <w:ind w:hanging="720"/>
        <w:rPr>
          <w:rFonts w:ascii="Arial" w:hAnsi="Arial" w:cs="Arial"/>
          <w:sz w:val="32"/>
          <w:szCs w:val="32"/>
        </w:rPr>
      </w:pPr>
      <w:r>
        <w:rPr>
          <w:rFonts w:ascii="Arial" w:hAnsi="Arial" w:cs="Arial"/>
          <w:b/>
          <w:bCs/>
          <w:sz w:val="32"/>
          <w:szCs w:val="32"/>
        </w:rPr>
        <w:t>Issue:</w:t>
      </w:r>
      <w:r>
        <w:rPr>
          <w:rFonts w:ascii="Arial" w:hAnsi="Arial" w:cs="Arial"/>
          <w:sz w:val="32"/>
          <w:szCs w:val="32"/>
        </w:rPr>
        <w:t xml:space="preserve"> </w:t>
      </w:r>
      <w:r w:rsidR="007D2A43">
        <w:rPr>
          <w:rFonts w:ascii="Arial" w:hAnsi="Arial" w:cs="Arial"/>
          <w:sz w:val="32"/>
          <w:szCs w:val="32"/>
        </w:rPr>
        <w:t xml:space="preserve">Privacy Rights at School </w:t>
      </w:r>
      <w:r>
        <w:rPr>
          <w:rFonts w:ascii="Arial" w:hAnsi="Arial" w:cs="Arial"/>
          <w:sz w:val="32"/>
          <w:szCs w:val="32"/>
        </w:rPr>
        <w:t> </w:t>
      </w:r>
    </w:p>
    <w:p w:rsidR="007D2A43" w:rsidRDefault="00162645" w:rsidP="007D2A43">
      <w:pPr>
        <w:spacing w:before="120" w:after="120"/>
        <w:ind w:hanging="720"/>
        <w:rPr>
          <w:rFonts w:ascii="Arial" w:hAnsi="Arial" w:cs="Arial"/>
          <w:sz w:val="32"/>
          <w:szCs w:val="32"/>
        </w:rPr>
      </w:pPr>
      <w:r>
        <w:rPr>
          <w:rFonts w:ascii="Arial" w:hAnsi="Arial" w:cs="Arial"/>
          <w:b/>
          <w:bCs/>
          <w:sz w:val="32"/>
          <w:szCs w:val="32"/>
        </w:rPr>
        <w:t>Bottom Line:</w:t>
      </w:r>
      <w:r>
        <w:rPr>
          <w:rFonts w:ascii="Arial" w:hAnsi="Arial" w:cs="Arial"/>
          <w:sz w:val="32"/>
          <w:szCs w:val="32"/>
        </w:rPr>
        <w:t xml:space="preserve"> </w:t>
      </w:r>
      <w:r w:rsidR="007D2A43">
        <w:rPr>
          <w:rFonts w:ascii="Arial" w:hAnsi="Arial" w:cs="Arial"/>
          <w:sz w:val="32"/>
          <w:szCs w:val="32"/>
        </w:rPr>
        <w:t>Your Belongings Can Be Searched, But Not Arbitrarily</w:t>
      </w:r>
    </w:p>
    <w:p w:rsidR="00EF1548" w:rsidRPr="00EF1548" w:rsidRDefault="00EF1548" w:rsidP="00162645">
      <w:pPr>
        <w:spacing w:before="120" w:after="120"/>
        <w:ind w:hanging="720"/>
        <w:rPr>
          <w:rFonts w:ascii="Arial" w:hAnsi="Arial" w:cs="Arial"/>
        </w:rPr>
      </w:pPr>
      <w:r w:rsidRPr="00EF1548">
        <w:rPr>
          <w:rFonts w:ascii="Arial" w:hAnsi="Arial" w:cs="Arial"/>
        </w:rPr>
        <w:t xml:space="preserve">    </w:t>
      </w:r>
    </w:p>
    <w:tbl>
      <w:tblPr>
        <w:tblStyle w:val="TableGrid"/>
        <w:tblW w:w="14580" w:type="dxa"/>
        <w:tblInd w:w="-612" w:type="dxa"/>
        <w:tblLook w:val="04A0" w:firstRow="1" w:lastRow="0" w:firstColumn="1" w:lastColumn="0" w:noHBand="0" w:noVBand="1"/>
      </w:tblPr>
      <w:tblGrid>
        <w:gridCol w:w="7020"/>
        <w:gridCol w:w="1080"/>
        <w:gridCol w:w="6480"/>
      </w:tblGrid>
      <w:tr w:rsidR="00162645" w:rsidTr="00162645">
        <w:tc>
          <w:tcPr>
            <w:tcW w:w="8100" w:type="dxa"/>
            <w:gridSpan w:val="2"/>
          </w:tcPr>
          <w:p w:rsidR="00162645" w:rsidRDefault="00162645" w:rsidP="00162645">
            <w:pPr>
              <w:jc w:val="center"/>
              <w:rPr>
                <w:rFonts w:ascii="Arial" w:hAnsi="Arial" w:cs="Arial"/>
                <w:sz w:val="32"/>
                <w:szCs w:val="32"/>
              </w:rPr>
            </w:pPr>
            <w:r>
              <w:rPr>
                <w:rFonts w:ascii="Arial" w:hAnsi="Arial" w:cs="Arial"/>
                <w:b/>
                <w:bCs/>
                <w:sz w:val="32"/>
                <w:szCs w:val="32"/>
              </w:rPr>
              <w:t>Background</w:t>
            </w:r>
            <w:r>
              <w:rPr>
                <w:rFonts w:ascii="Arial" w:hAnsi="Arial" w:cs="Arial"/>
                <w:sz w:val="32"/>
                <w:szCs w:val="32"/>
              </w:rPr>
              <w:t> </w:t>
            </w:r>
          </w:p>
          <w:p w:rsidR="00162645" w:rsidRDefault="00162645" w:rsidP="00162645">
            <w:pPr>
              <w:jc w:val="center"/>
            </w:pP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7D2A43" w:rsidRPr="007D2A43" w:rsidRDefault="007D2A43" w:rsidP="007D2A43">
            <w:pPr>
              <w:widowControl w:val="0"/>
              <w:autoSpaceDE w:val="0"/>
              <w:autoSpaceDN w:val="0"/>
              <w:adjustRightInd w:val="0"/>
              <w:spacing w:after="320"/>
              <w:rPr>
                <w:rFonts w:ascii="Arial" w:hAnsi="Arial" w:cs="Arial"/>
                <w:sz w:val="28"/>
                <w:szCs w:val="32"/>
              </w:rPr>
            </w:pPr>
            <w:r w:rsidRPr="007D2A43">
              <w:rPr>
                <w:rFonts w:ascii="Arial" w:hAnsi="Arial" w:cs="Arial"/>
                <w:sz w:val="28"/>
                <w:szCs w:val="32"/>
              </w:rPr>
              <w:t>T.L.O. (Terry), a 14-year-old freshman at Piscataway High School in New Jersey, was caught smoking in a school bathroom by a teacher. The principal questioned her and asked to see her purse. Inside was a pack of cigarettes, rolling papers, and a small amount of marijuana. The police were called and Terry admitted selling drugs at school.</w:t>
            </w:r>
          </w:p>
          <w:p w:rsidR="00162645" w:rsidRPr="007D2A43" w:rsidRDefault="007D2A43" w:rsidP="007D2A43">
            <w:pPr>
              <w:widowControl w:val="0"/>
              <w:autoSpaceDE w:val="0"/>
              <w:autoSpaceDN w:val="0"/>
              <w:adjustRightInd w:val="0"/>
              <w:spacing w:after="320"/>
              <w:rPr>
                <w:rFonts w:ascii="Arial" w:hAnsi="Arial" w:cs="Arial"/>
                <w:sz w:val="32"/>
                <w:szCs w:val="32"/>
              </w:rPr>
            </w:pPr>
            <w:r w:rsidRPr="007D2A43">
              <w:rPr>
                <w:rFonts w:ascii="Arial" w:hAnsi="Arial" w:cs="Arial"/>
                <w:sz w:val="28"/>
                <w:szCs w:val="32"/>
              </w:rPr>
              <w:t>Her case went to trial and she was found guilty of possession of marijuana and placed on probation. Terry appealed her conviction, claiming that the search of her purse violated her Fourth Amendment protection against "unreasonable searches and seizures."</w:t>
            </w:r>
          </w:p>
        </w:tc>
        <w:tc>
          <w:tcPr>
            <w:tcW w:w="6480" w:type="dxa"/>
          </w:tcPr>
          <w:p w:rsidR="00162645" w:rsidRDefault="00162645" w:rsidP="00162645"/>
        </w:tc>
      </w:tr>
      <w:tr w:rsidR="00162645" w:rsidTr="00162645">
        <w:tc>
          <w:tcPr>
            <w:tcW w:w="8100" w:type="dxa"/>
            <w:gridSpan w:val="2"/>
          </w:tcPr>
          <w:p w:rsidR="00162645" w:rsidRPr="007D2A43" w:rsidRDefault="00162645" w:rsidP="00162645">
            <w:pPr>
              <w:jc w:val="center"/>
              <w:rPr>
                <w:rFonts w:ascii="Arial" w:hAnsi="Arial" w:cs="Arial"/>
                <w:sz w:val="28"/>
                <w:szCs w:val="32"/>
              </w:rPr>
            </w:pPr>
            <w:r w:rsidRPr="007D2A43">
              <w:rPr>
                <w:rFonts w:ascii="Arial" w:hAnsi="Arial" w:cs="Arial"/>
                <w:b/>
                <w:bCs/>
                <w:sz w:val="28"/>
                <w:szCs w:val="32"/>
              </w:rPr>
              <w:t>Ruling</w:t>
            </w: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EF1548" w:rsidRPr="007D2A43" w:rsidRDefault="007D2A43" w:rsidP="007D2A43">
            <w:pPr>
              <w:widowControl w:val="0"/>
              <w:autoSpaceDE w:val="0"/>
              <w:autoSpaceDN w:val="0"/>
              <w:adjustRightInd w:val="0"/>
              <w:spacing w:after="320"/>
              <w:rPr>
                <w:rFonts w:ascii="Arial" w:hAnsi="Arial" w:cs="Arial"/>
                <w:sz w:val="28"/>
                <w:szCs w:val="32"/>
              </w:rPr>
            </w:pPr>
            <w:r w:rsidRPr="007D2A43">
              <w:rPr>
                <w:rFonts w:ascii="Arial" w:hAnsi="Arial" w:cs="Arial"/>
                <w:sz w:val="28"/>
                <w:szCs w:val="32"/>
              </w:rPr>
              <w:t>The Supreme Court ruled in favor of the school. Students have "legitimate expectations of privacy," the Court said, but that must be balanced with the school's responsibility for "maintaining an environment in which learning can take place." The initial search of Terry's purse for cigarettes was reasonable, the Court said, based on the teacher's report that she'd been smoking in the bathroom. The discovery of rolling papers near the cigarettes in her purse created a reasonable suspicion that she possessed marijuana, the Court said, which justified further exploration.</w:t>
            </w:r>
          </w:p>
        </w:tc>
        <w:tc>
          <w:tcPr>
            <w:tcW w:w="6480" w:type="dxa"/>
          </w:tcPr>
          <w:p w:rsidR="00162645" w:rsidRDefault="00162645" w:rsidP="00162645"/>
        </w:tc>
      </w:tr>
      <w:tr w:rsidR="00162645" w:rsidTr="00162645">
        <w:tc>
          <w:tcPr>
            <w:tcW w:w="8100" w:type="dxa"/>
            <w:gridSpan w:val="2"/>
          </w:tcPr>
          <w:p w:rsidR="00162645" w:rsidRDefault="00162645" w:rsidP="00EF1548">
            <w:pPr>
              <w:widowControl w:val="0"/>
              <w:autoSpaceDE w:val="0"/>
              <w:autoSpaceDN w:val="0"/>
              <w:adjustRightInd w:val="0"/>
              <w:spacing w:after="320"/>
              <w:jc w:val="center"/>
              <w:rPr>
                <w:rFonts w:ascii="Arial" w:hAnsi="Arial" w:cs="Arial"/>
                <w:sz w:val="32"/>
                <w:szCs w:val="32"/>
              </w:rPr>
            </w:pPr>
            <w:r>
              <w:rPr>
                <w:rFonts w:ascii="Arial" w:hAnsi="Arial" w:cs="Arial"/>
                <w:b/>
                <w:bCs/>
                <w:sz w:val="32"/>
                <w:szCs w:val="32"/>
              </w:rPr>
              <w:lastRenderedPageBreak/>
              <w:t>Impact</w:t>
            </w:r>
          </w:p>
        </w:tc>
        <w:tc>
          <w:tcPr>
            <w:tcW w:w="6480" w:type="dxa"/>
          </w:tcPr>
          <w:p w:rsidR="00162645" w:rsidRDefault="00162645" w:rsidP="00EF1548">
            <w:pPr>
              <w:jc w:val="center"/>
              <w:rPr>
                <w:rFonts w:ascii="Arial" w:hAnsi="Arial" w:cs="Arial"/>
                <w:sz w:val="32"/>
                <w:szCs w:val="32"/>
              </w:rPr>
            </w:pPr>
            <w:r>
              <w:rPr>
                <w:rFonts w:ascii="Arial" w:hAnsi="Arial" w:cs="Arial"/>
                <w:b/>
                <w:bCs/>
                <w:sz w:val="32"/>
                <w:szCs w:val="32"/>
              </w:rPr>
              <w:t>Key Points / Facts</w:t>
            </w:r>
          </w:p>
          <w:p w:rsidR="00162645" w:rsidRDefault="00162645" w:rsidP="00EF1548">
            <w:pPr>
              <w:jc w:val="center"/>
            </w:pPr>
          </w:p>
        </w:tc>
      </w:tr>
      <w:tr w:rsidR="00162645" w:rsidTr="00162645">
        <w:tc>
          <w:tcPr>
            <w:tcW w:w="8100" w:type="dxa"/>
            <w:gridSpan w:val="2"/>
          </w:tcPr>
          <w:p w:rsidR="00162645" w:rsidRDefault="004C5AA7" w:rsidP="004C5AA7">
            <w:pPr>
              <w:widowControl w:val="0"/>
              <w:autoSpaceDE w:val="0"/>
              <w:autoSpaceDN w:val="0"/>
              <w:adjustRightInd w:val="0"/>
              <w:spacing w:after="320"/>
              <w:rPr>
                <w:rFonts w:ascii="Arial" w:hAnsi="Arial" w:cs="Arial"/>
                <w:sz w:val="28"/>
                <w:szCs w:val="32"/>
              </w:rPr>
            </w:pPr>
            <w:r w:rsidRPr="004C5AA7">
              <w:rPr>
                <w:rFonts w:ascii="Arial" w:hAnsi="Arial" w:cs="Arial"/>
                <w:sz w:val="28"/>
                <w:szCs w:val="32"/>
              </w:rPr>
              <w:t>T.L.O. is the landmark case on search and seizure at school. Basically, school officials may search a student's property if they have a "reasonable suspicion" that a school rule has been broken, or a student has committed or is in the process of committing a crime. These are called "suspicion-based" searches. There are also "</w:t>
            </w:r>
            <w:proofErr w:type="spellStart"/>
            <w:r w:rsidRPr="004C5AA7">
              <w:rPr>
                <w:rFonts w:ascii="Arial" w:hAnsi="Arial" w:cs="Arial"/>
                <w:sz w:val="28"/>
                <w:szCs w:val="32"/>
              </w:rPr>
              <w:t>suspicionless</w:t>
            </w:r>
            <w:proofErr w:type="spellEnd"/>
            <w:r w:rsidRPr="004C5AA7">
              <w:rPr>
                <w:rFonts w:ascii="Arial" w:hAnsi="Arial" w:cs="Arial"/>
                <w:sz w:val="28"/>
                <w:szCs w:val="32"/>
              </w:rPr>
              <w:t xml:space="preserve"> searches" in which everyone in a certain group is subject to a search at school. </w:t>
            </w:r>
          </w:p>
          <w:p w:rsidR="004C5AA7" w:rsidRDefault="004C5AA7" w:rsidP="004C5AA7">
            <w:pPr>
              <w:widowControl w:val="0"/>
              <w:autoSpaceDE w:val="0"/>
              <w:autoSpaceDN w:val="0"/>
              <w:adjustRightInd w:val="0"/>
              <w:spacing w:after="320"/>
              <w:rPr>
                <w:rFonts w:ascii="Arial" w:hAnsi="Arial" w:cs="Arial"/>
                <w:sz w:val="28"/>
                <w:szCs w:val="32"/>
              </w:rPr>
            </w:pPr>
          </w:p>
          <w:p w:rsidR="004C5AA7" w:rsidRPr="00162645" w:rsidRDefault="004C5AA7" w:rsidP="004C5AA7">
            <w:pPr>
              <w:widowControl w:val="0"/>
              <w:autoSpaceDE w:val="0"/>
              <w:autoSpaceDN w:val="0"/>
              <w:adjustRightInd w:val="0"/>
              <w:spacing w:after="320"/>
              <w:rPr>
                <w:rFonts w:ascii="Arial" w:hAnsi="Arial" w:cs="Arial"/>
                <w:sz w:val="28"/>
                <w:szCs w:val="32"/>
              </w:rPr>
            </w:pPr>
          </w:p>
        </w:tc>
        <w:tc>
          <w:tcPr>
            <w:tcW w:w="6480" w:type="dxa"/>
          </w:tcPr>
          <w:p w:rsidR="00162645" w:rsidRDefault="00162645" w:rsidP="00162645"/>
        </w:tc>
      </w:tr>
      <w:tr w:rsidR="00EF1548" w:rsidRPr="007D2A43" w:rsidTr="007D2A43">
        <w:trPr>
          <w:trHeight w:val="2996"/>
        </w:trPr>
        <w:tc>
          <w:tcPr>
            <w:tcW w:w="7020" w:type="dxa"/>
          </w:tcPr>
          <w:p w:rsidR="00EF1548" w:rsidRPr="007D2A43" w:rsidRDefault="007D2A43" w:rsidP="00162645">
            <w:pPr>
              <w:widowControl w:val="0"/>
              <w:autoSpaceDE w:val="0"/>
              <w:autoSpaceDN w:val="0"/>
              <w:adjustRightInd w:val="0"/>
              <w:spacing w:after="320"/>
              <w:rPr>
                <w:rFonts w:ascii="Arial" w:hAnsi="Arial" w:cs="Arial"/>
                <w:b/>
                <w:sz w:val="28"/>
                <w:szCs w:val="32"/>
              </w:rPr>
            </w:pPr>
            <w:bookmarkStart w:id="0" w:name="_GoBack" w:colFirst="0" w:colLast="2"/>
            <w:r w:rsidRPr="007D2A43">
              <w:rPr>
                <w:rFonts w:ascii="Arial" w:hAnsi="Arial" w:cs="Arial"/>
                <w:b/>
                <w:sz w:val="28"/>
                <w:szCs w:val="32"/>
              </w:rPr>
              <w:t>Amendments</w:t>
            </w: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tc>
        <w:tc>
          <w:tcPr>
            <w:tcW w:w="7560" w:type="dxa"/>
            <w:gridSpan w:val="2"/>
          </w:tcPr>
          <w:p w:rsidR="00EF1548" w:rsidRPr="007D2A43" w:rsidRDefault="007D2A43" w:rsidP="00162645">
            <w:pPr>
              <w:rPr>
                <w:rFonts w:ascii="Arial" w:hAnsi="Arial" w:cs="Arial"/>
                <w:b/>
              </w:rPr>
            </w:pPr>
            <w:r w:rsidRPr="007D2A43">
              <w:rPr>
                <w:rFonts w:ascii="Arial" w:hAnsi="Arial" w:cs="Arial"/>
                <w:b/>
                <w:sz w:val="28"/>
              </w:rPr>
              <w:t>Other Research / Examples</w:t>
            </w:r>
          </w:p>
        </w:tc>
      </w:tr>
      <w:bookmarkEnd w:id="0"/>
    </w:tbl>
    <w:p w:rsidR="00162645" w:rsidRDefault="00162645" w:rsidP="00162645"/>
    <w:sectPr w:rsidR="00162645" w:rsidSect="00EF1548">
      <w:pgSz w:w="15840" w:h="12240" w:orient="landscape"/>
      <w:pgMar w:top="64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5"/>
    <w:rsid w:val="00162645"/>
    <w:rsid w:val="004C5AA7"/>
    <w:rsid w:val="007D2A43"/>
    <w:rsid w:val="00EF1548"/>
    <w:rsid w:val="00FC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DE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1589</Characters>
  <Application>Microsoft Macintosh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Holloway</dc:creator>
  <cp:keywords/>
  <dc:description/>
  <cp:lastModifiedBy>Vaughn Holloway</cp:lastModifiedBy>
  <cp:revision>2</cp:revision>
  <dcterms:created xsi:type="dcterms:W3CDTF">2015-01-18T13:43:00Z</dcterms:created>
  <dcterms:modified xsi:type="dcterms:W3CDTF">2015-01-18T13:43:00Z</dcterms:modified>
</cp:coreProperties>
</file>